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ИНФОРМАЦИЯ 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  <w:t xml:space="preserve">о результатах проведения </w:t>
      </w:r>
      <w:r>
        <w:rPr>
          <w:rFonts w:cs="PT Astra Serif" w:ascii="PT Astra Serif" w:hAnsi="PT Astra Serif"/>
          <w:b/>
          <w:bCs/>
          <w:sz w:val="28"/>
          <w:szCs w:val="28"/>
        </w:rPr>
        <w:t>вне</w:t>
      </w:r>
      <w:r>
        <w:rPr>
          <w:rFonts w:cs="PT Astra Serif" w:ascii="PT Astra Serif" w:hAnsi="PT Astra Serif"/>
          <w:b/>
          <w:bCs/>
          <w:sz w:val="28"/>
          <w:szCs w:val="28"/>
        </w:rPr>
        <w:t>планов</w:t>
      </w:r>
      <w:r>
        <w:rPr>
          <w:rFonts w:cs="PT Astra Serif" w:ascii="PT Astra Serif" w:hAnsi="PT Astra Serif"/>
          <w:b/>
          <w:bCs/>
          <w:sz w:val="28"/>
          <w:szCs w:val="28"/>
        </w:rPr>
        <w:t>ых</w:t>
      </w:r>
      <w:r>
        <w:rPr>
          <w:rFonts w:cs="PT Astra Serif" w:ascii="PT Astra Serif" w:hAnsi="PT Astra Serif"/>
          <w:b/>
          <w:bCs/>
          <w:sz w:val="28"/>
          <w:szCs w:val="28"/>
        </w:rPr>
        <w:t xml:space="preserve"> выездн</w:t>
      </w:r>
      <w:r>
        <w:rPr>
          <w:rFonts w:cs="PT Astra Serif" w:ascii="PT Astra Serif" w:hAnsi="PT Astra Serif"/>
          <w:b/>
          <w:bCs/>
          <w:sz w:val="28"/>
          <w:szCs w:val="28"/>
        </w:rPr>
        <w:t>ых</w:t>
      </w:r>
      <w:r>
        <w:rPr>
          <w:rFonts w:cs="PT Astra Serif" w:ascii="PT Astra Serif" w:hAnsi="PT Astra Serif"/>
          <w:b/>
          <w:bCs/>
          <w:sz w:val="28"/>
          <w:szCs w:val="28"/>
        </w:rPr>
        <w:t xml:space="preserve"> провер</w:t>
      </w:r>
      <w:r>
        <w:rPr>
          <w:rFonts w:cs="PT Astra Serif" w:ascii="PT Astra Serif" w:hAnsi="PT Astra Serif"/>
          <w:b/>
          <w:bCs/>
          <w:sz w:val="28"/>
          <w:szCs w:val="28"/>
        </w:rPr>
        <w:t>ок</w:t>
      </w:r>
      <w:r>
        <w:rPr>
          <w:rFonts w:cs="PT Astra Serif" w:ascii="PT Astra Serif" w:hAnsi="PT Astra Serif"/>
          <w:b/>
          <w:bCs/>
          <w:sz w:val="28"/>
          <w:szCs w:val="28"/>
        </w:rPr>
        <w:t xml:space="preserve"> объекта ТЭК низкой категории опасности – </w:t>
      </w:r>
    </w:p>
    <w:p>
      <w:pPr>
        <w:pStyle w:val="Normal"/>
        <w:suppressAutoHyphens w:val="true"/>
        <w:spacing w:lineRule="auto" w:line="240"/>
        <w:ind w:firstLine="737" w:right="0"/>
        <w:jc w:val="center"/>
        <w:rPr/>
      </w:pPr>
      <w:r>
        <w:rPr>
          <w:rFonts w:cs="Times New Roman" w:ascii="PT Astra Serif" w:hAnsi="PT Astra Serif"/>
          <w:b/>
          <w:bCs/>
          <w:sz w:val="28"/>
          <w:szCs w:val="28"/>
          <w:u w:val="none"/>
        </w:rPr>
        <w:t>ЛПДС «Белгород»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</w:r>
    </w:p>
    <w:p>
      <w:pPr>
        <w:pStyle w:val="Normal"/>
        <w:widowControl/>
        <w:bidi w:val="0"/>
        <w:ind w:firstLine="737" w:right="0"/>
        <w:jc w:val="both"/>
        <w:rPr/>
      </w:pPr>
      <w:r>
        <w:rPr>
          <w:sz w:val="28"/>
          <w:szCs w:val="28"/>
        </w:rPr>
        <w:t xml:space="preserve">Во исполнение требований Правил осуществления федерального государственного контроля (надзора) за обеспечением безопасности объектов топливно-энергетического комплекса, которым присвоена категория опасности, утвержденных </w:t>
      </w:r>
      <w:r>
        <w:fldChar w:fldCharType="begin"/>
      </w:r>
      <w:r>
        <w:rPr>
          <w:rStyle w:val="Hyperlink"/>
          <w:sz w:val="28"/>
          <w:u w:val="none"/>
          <w:szCs w:val="28"/>
          <w:bCs/>
          <w:color w:val="000000"/>
        </w:rPr>
        <w:instrText xml:space="preserve"> HYPERLINK "../../../../../../../../D:%5C%D0%9C%D0%BE%D0%B8%20%D0%B4%D0%BE%D0%BA%D1%83%D0%BC%D0%B5%D0%BD%D1%82%D1%8B%5C%D0%9E%D1%81%D0%BD%D0%BE%D0%B2%D0%BD%D0%B0%D1%8F%20%D0%B4%D0%B5%D1%8F%D1%82%D0%B5%D0%BB%D1%8C%D0%BD%D0%BE%D1%81%D1%82%D1%8C%5C%D0%9E%D0%B1%D1%8A%D0%B5%D0%BA%D1%82%D1%8B%20%D0%A2%D0%AD%D0%9A%5C%D0%9F%D1%80%D0%BE%D0%B2%D0%B5%D1%80%D0%BA%D0%B8%20%D0%BE%D0%B1%D1%8A%D0%B5%D0%BA%D1%82%D0%BE%D0%B2%20%D0%A2%D0%AD%D0%9A%5C%D0%9F%D1%80%D0%BE%D0%B2%D0%B5%D1%80%D0%BA%D0%B8%202024%D0%B3%5C%D0%9E%D0%9E%D0%9E%20%D0%9C%D0%B0%D1%81%D1%82%D0%B5%D1%80%D0%BE%D0%B9%D0%BB%20(%D0%B2%D0%BD%D0%B5%D0%BF%D0%BB%D0%B0%D0%BD%D0%BE%D0%B2%D0%B0%D1%8F)%5C%D0%94%D0%BE%D0%BA%D1%83%D0%BC%D0%B5%D0%BD%D1%82%D0%B0%D1%86%D0%B8%D1%8F%5C%D0%A3%D0%B2%D0%B5%D0%B4%D0%BE%D0%BC%D0%BB%D0%B5%D0%BD%D0%B8%D0%B5%20%D0%BE%20%D0%B2%D0%BD%D0%B5%D0%BF%D0%BB%D0%B0%D0%BD%D0%BE%D0%B2%D0%BE%D0%B9%20%D0%BF%D1%80%D0%BE%D0%B2%D0%B5%D1%80%D0%BA%D0%B5%20%D1%85%D1%80%D0%B0%D0%BD%D0%B8%D0%BB%D0%B8%D1%89%D0%B0%20%D0%9E%D0%9E%D0%9E%20%D0%9C%D0%B0%D1%81%D1%82%D0%B5%D1%80%D0%BE%D0%B9%D0%BB.doc" \l "sub_0%23sub_0"</w:instrText>
      </w:r>
      <w:r>
        <w:rPr>
          <w:rStyle w:val="Hyperlink"/>
          <w:sz w:val="28"/>
          <w:u w:val="none"/>
          <w:szCs w:val="28"/>
          <w:bCs/>
          <w:color w:val="000000"/>
        </w:rPr>
        <w:fldChar w:fldCharType="separate"/>
      </w:r>
      <w:r>
        <w:rPr>
          <w:rStyle w:val="Hyperlink"/>
          <w:bCs/>
          <w:color w:val="000000"/>
          <w:sz w:val="28"/>
          <w:szCs w:val="28"/>
          <w:u w:val="none"/>
        </w:rPr>
        <w:t>постановлением</w:t>
      </w:r>
      <w:r>
        <w:rPr>
          <w:rStyle w:val="Hyperlink"/>
          <w:sz w:val="28"/>
          <w:u w:val="none"/>
          <w:szCs w:val="28"/>
          <w:bCs/>
          <w:color w:val="000000"/>
        </w:rPr>
        <w:fldChar w:fldCharType="end"/>
      </w:r>
      <w:r>
        <w:rPr>
          <w:sz w:val="28"/>
          <w:szCs w:val="28"/>
        </w:rPr>
        <w:t xml:space="preserve"> Правительства РФ от 12 мая 2023 г. № 740, </w:t>
      </w:r>
      <w:r>
        <w:rPr>
          <w:rFonts w:cs="PT Astra Serif" w:ascii="PT Astra Serif" w:hAnsi="PT Astra Serif"/>
          <w:sz w:val="28"/>
          <w:szCs w:val="28"/>
        </w:rPr>
        <w:t>в соответствии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с </w:t>
      </w:r>
      <w:r>
        <w:rPr>
          <w:rFonts w:cs="Times New Roman"/>
          <w:sz w:val="28"/>
          <w:szCs w:val="28"/>
          <w:u w:val="none"/>
        </w:rPr>
        <w:t>распоряжением Управления Росгвардии по Белгородской области от 13 мая 2026 г. № 6</w:t>
      </w:r>
      <w:r>
        <w:rPr>
          <w:rFonts w:cs="Times New Roman"/>
          <w:sz w:val="28"/>
          <w:szCs w:val="28"/>
          <w:u w:val="none"/>
        </w:rPr>
        <w:t>7</w:t>
      </w:r>
      <w:r>
        <w:rPr>
          <w:rFonts w:cs="Times New Roman"/>
          <w:sz w:val="28"/>
          <w:szCs w:val="28"/>
          <w:u w:val="none"/>
        </w:rPr>
        <w:t xml:space="preserve"> «О проведении внеплановой проверки»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, 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а так же в соответствии с </w:t>
      </w:r>
      <w:r>
        <w:rPr>
          <w:rFonts w:cs="Times New Roman" w:ascii="PT Astra Serif" w:hAnsi="PT Astra Serif"/>
          <w:sz w:val="28"/>
          <w:szCs w:val="28"/>
          <w:u w:val="none"/>
        </w:rPr>
        <w:t>распоряжением Управления Росгвардии по Белгородской области от 13 мая 2026 г. № 69 «О проведении внеплановой проверки»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в период с 27 мая по </w:t>
      </w:r>
      <w:r>
        <w:rPr>
          <w:rFonts w:cs="PT Astra Serif" w:ascii="PT Astra Serif" w:hAnsi="PT Astra Serif"/>
          <w:sz w:val="28"/>
          <w:szCs w:val="28"/>
          <w:u w:val="none"/>
        </w:rPr>
        <w:t>11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июня 2026 года сотрудниками отделения государственного контроля осуществлял</w:t>
      </w:r>
      <w:r>
        <w:rPr>
          <w:rFonts w:cs="PT Astra Serif" w:ascii="PT Astra Serif" w:hAnsi="PT Astra Serif"/>
          <w:sz w:val="28"/>
          <w:szCs w:val="28"/>
          <w:u w:val="none"/>
        </w:rPr>
        <w:t>ись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вне</w:t>
      </w:r>
      <w:r>
        <w:rPr>
          <w:rFonts w:cs="PT Astra Serif" w:ascii="PT Astra Serif" w:hAnsi="PT Astra Serif"/>
          <w:sz w:val="28"/>
          <w:szCs w:val="28"/>
        </w:rPr>
        <w:t>планов</w:t>
      </w:r>
      <w:r>
        <w:rPr>
          <w:rFonts w:cs="PT Astra Serif" w:ascii="PT Astra Serif" w:hAnsi="PT Astra Serif"/>
          <w:sz w:val="28"/>
          <w:szCs w:val="28"/>
        </w:rPr>
        <w:t>ые</w:t>
      </w:r>
      <w:r>
        <w:rPr>
          <w:rFonts w:cs="PT Astra Serif" w:ascii="PT Astra Serif" w:hAnsi="PT Astra Serif"/>
          <w:sz w:val="28"/>
          <w:szCs w:val="28"/>
        </w:rPr>
        <w:t xml:space="preserve"> выездн</w:t>
      </w:r>
      <w:r>
        <w:rPr>
          <w:rFonts w:cs="PT Astra Serif" w:ascii="PT Astra Serif" w:hAnsi="PT Astra Serif"/>
          <w:sz w:val="28"/>
          <w:szCs w:val="28"/>
        </w:rPr>
        <w:t>ые</w:t>
      </w:r>
      <w:r>
        <w:rPr>
          <w:rFonts w:cs="PT Astra Serif" w:ascii="PT Astra Serif" w:hAnsi="PT Astra Serif"/>
          <w:sz w:val="28"/>
          <w:szCs w:val="28"/>
        </w:rPr>
        <w:t xml:space="preserve"> проверк</w:t>
      </w:r>
      <w:r>
        <w:rPr>
          <w:rFonts w:cs="PT Astra Serif" w:ascii="PT Astra Serif" w:hAnsi="PT Astra Serif"/>
          <w:sz w:val="28"/>
          <w:szCs w:val="28"/>
        </w:rPr>
        <w:t>и</w:t>
      </w:r>
      <w:r>
        <w:rPr>
          <w:rFonts w:cs="PT Astra Serif" w:ascii="PT Astra Serif" w:hAnsi="PT Astra Serif"/>
          <w:sz w:val="28"/>
          <w:szCs w:val="28"/>
        </w:rPr>
        <w:t xml:space="preserve"> объекта ТЭК низкой категории опасности – </w:t>
      </w:r>
      <w:r>
        <w:rPr>
          <w:rFonts w:cs="Times New Roman" w:ascii="PT Astra Serif" w:hAnsi="PT Astra Serif"/>
          <w:sz w:val="28"/>
          <w:szCs w:val="28"/>
          <w:u w:val="none"/>
        </w:rPr>
        <w:t>ЛПДС «Белгород»</w:t>
      </w:r>
      <w:bookmarkStart w:id="0" w:name="__DdeLink__56_1154975931"/>
      <w:r>
        <w:rPr>
          <w:rStyle w:val="FootnoteReference"/>
          <w:rFonts w:cs="PT Astra Serif" w:ascii="PT Astra Serif" w:hAnsi="PT Astra Serif"/>
          <w:b w:val="false"/>
          <w:bCs w:val="false"/>
          <w:sz w:val="28"/>
          <w:szCs w:val="28"/>
        </w:rPr>
        <w:footnoteReference w:id="2"/>
      </w:r>
      <w:r>
        <w:rPr>
          <w:rFonts w:cs="PT Astra Serif" w:ascii="PT Astra Serif" w:hAnsi="PT Astra Serif"/>
          <w:b w:val="false"/>
          <w:bCs w:val="false"/>
          <w:sz w:val="28"/>
          <w:szCs w:val="28"/>
        </w:rPr>
        <w:t>.</w:t>
      </w:r>
      <w:bookmarkEnd w:id="0"/>
    </w:p>
    <w:p>
      <w:pPr>
        <w:pStyle w:val="Normal"/>
        <w:suppressAutoHyphens w:val="true"/>
        <w:spacing w:lineRule="auto" w:line="240"/>
        <w:ind w:firstLine="737" w:right="0"/>
        <w:jc w:val="both"/>
        <w:rPr/>
      </w:pPr>
      <w:r>
        <w:rPr>
          <w:rFonts w:cs="PT Astra Serif" w:ascii="PT Astra Serif" w:hAnsi="PT Astra Serif"/>
          <w:sz w:val="28"/>
          <w:szCs w:val="28"/>
        </w:rPr>
        <w:t>В ходе проведения внепланов</w:t>
      </w:r>
      <w:r>
        <w:rPr>
          <w:rFonts w:cs="PT Astra Serif" w:ascii="PT Astra Serif" w:hAnsi="PT Astra Serif"/>
          <w:sz w:val="28"/>
          <w:szCs w:val="28"/>
        </w:rPr>
        <w:t>ых</w:t>
      </w:r>
      <w:r>
        <w:rPr>
          <w:rFonts w:cs="PT Astra Serif" w:ascii="PT Astra Serif" w:hAnsi="PT Astra Serif"/>
          <w:sz w:val="28"/>
          <w:szCs w:val="28"/>
        </w:rPr>
        <w:t xml:space="preserve"> провер</w:t>
      </w:r>
      <w:r>
        <w:rPr>
          <w:rFonts w:cs="PT Astra Serif" w:ascii="PT Astra Serif" w:hAnsi="PT Astra Serif"/>
          <w:sz w:val="28"/>
          <w:szCs w:val="28"/>
        </w:rPr>
        <w:t>ок</w:t>
      </w:r>
      <w:r>
        <w:rPr>
          <w:rFonts w:cs="PT Astra Serif" w:ascii="PT Astra Serif" w:hAnsi="PT Astra Serif"/>
          <w:sz w:val="28"/>
          <w:szCs w:val="28"/>
        </w:rPr>
        <w:t xml:space="preserve"> нарушения </w:t>
      </w:r>
      <w:r>
        <w:rPr>
          <w:rFonts w:cs="PT Astra Serif" w:ascii="PT Astra Serif" w:hAnsi="PT Astra Serif"/>
          <w:sz w:val="28"/>
          <w:szCs w:val="28"/>
        </w:rPr>
        <w:t>не выявлены.</w:t>
      </w:r>
    </w:p>
    <w:p>
      <w:pPr>
        <w:pStyle w:val="Normal"/>
        <w:suppressAutoHyphens w:val="true"/>
        <w:spacing w:lineRule="auto" w:line="240"/>
        <w:ind w:firstLine="737" w:right="0"/>
        <w:jc w:val="both"/>
        <w:rPr/>
      </w:pPr>
      <w:r>
        <w:rPr>
          <w:rFonts w:cs="PT Astra Serif" w:ascii="PT Astra Serif" w:hAnsi="PT Astra Serif"/>
          <w:sz w:val="28"/>
          <w:szCs w:val="28"/>
        </w:rPr>
        <w:t xml:space="preserve">По итогам проведения внеплановой проверки составлены: акт </w:t>
        <w:br/>
        <w:t xml:space="preserve">№ </w:t>
      </w:r>
      <w:r>
        <w:rPr>
          <w:rFonts w:cs="PT Astra Serif" w:ascii="PT Astra Serif" w:hAnsi="PT Astra Serif"/>
          <w:sz w:val="28"/>
          <w:szCs w:val="28"/>
        </w:rPr>
        <w:t>11</w:t>
      </w:r>
      <w:r>
        <w:rPr>
          <w:rFonts w:cs="PT Astra Serif" w:ascii="PT Astra Serif" w:hAnsi="PT Astra Serif"/>
          <w:sz w:val="28"/>
          <w:szCs w:val="28"/>
        </w:rPr>
        <w:t xml:space="preserve">-31-2026 от </w:t>
      </w:r>
      <w:r>
        <w:rPr>
          <w:rFonts w:cs="PT Astra Serif" w:ascii="PT Astra Serif" w:hAnsi="PT Astra Serif"/>
          <w:sz w:val="28"/>
          <w:szCs w:val="28"/>
        </w:rPr>
        <w:t>11</w:t>
      </w:r>
      <w:r>
        <w:rPr>
          <w:rFonts w:cs="PT Astra Serif" w:ascii="PT Astra Serif" w:hAnsi="PT Astra Serif"/>
          <w:sz w:val="28"/>
          <w:szCs w:val="28"/>
        </w:rPr>
        <w:t xml:space="preserve"> июня 2026 года, акт № </w:t>
      </w:r>
      <w:r>
        <w:rPr>
          <w:rFonts w:cs="PT Astra Serif" w:ascii="PT Astra Serif" w:hAnsi="PT Astra Serif"/>
          <w:sz w:val="28"/>
          <w:szCs w:val="28"/>
        </w:rPr>
        <w:t>10</w:t>
      </w:r>
      <w:r>
        <w:rPr>
          <w:rFonts w:cs="PT Astra Serif" w:ascii="PT Astra Serif" w:hAnsi="PT Astra Serif"/>
          <w:sz w:val="28"/>
          <w:szCs w:val="28"/>
        </w:rPr>
        <w:t xml:space="preserve">-31-2026 от </w:t>
      </w:r>
      <w:r>
        <w:rPr>
          <w:rFonts w:cs="PT Astra Serif" w:ascii="PT Astra Serif" w:hAnsi="PT Astra Serif"/>
          <w:sz w:val="28"/>
          <w:szCs w:val="28"/>
        </w:rPr>
        <w:t>11</w:t>
      </w:r>
      <w:r>
        <w:rPr>
          <w:rFonts w:cs="PT Astra Serif" w:ascii="PT Astra Serif" w:hAnsi="PT Astra Serif"/>
          <w:sz w:val="28"/>
          <w:szCs w:val="28"/>
        </w:rPr>
        <w:t xml:space="preserve"> июня 2026 года </w:t>
      </w:r>
      <w:r>
        <w:rPr>
          <w:rFonts w:cs="PT Astra Serif" w:ascii="PT Astra Serif" w:hAnsi="PT Astra Serif"/>
          <w:sz w:val="28"/>
          <w:szCs w:val="28"/>
          <w:u w:val="none"/>
        </w:rPr>
        <w:t>которы</w:t>
      </w:r>
      <w:r>
        <w:rPr>
          <w:rFonts w:cs="PT Astra Serif" w:ascii="PT Astra Serif" w:hAnsi="PT Astra Serif"/>
          <w:sz w:val="28"/>
          <w:szCs w:val="28"/>
          <w:u w:val="none"/>
        </w:rPr>
        <w:t>е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вручен</w:t>
      </w:r>
      <w:r>
        <w:rPr>
          <w:rFonts w:cs="PT Astra Serif" w:ascii="PT Astra Serif" w:hAnsi="PT Astra Serif"/>
          <w:sz w:val="28"/>
          <w:szCs w:val="28"/>
          <w:u w:val="none"/>
        </w:rPr>
        <w:t>ы</w:t>
      </w:r>
      <w:r>
        <w:rPr>
          <w:rFonts w:cs="PT Astra Serif" w:ascii="PT Astra Serif" w:hAnsi="PT Astra Serif"/>
          <w:sz w:val="28"/>
          <w:szCs w:val="28"/>
          <w:u w:val="none"/>
        </w:rPr>
        <w:t xml:space="preserve"> начальнику </w:t>
      </w:r>
      <w:r>
        <w:rPr>
          <w:rFonts w:cs="PT Astra Serif" w:ascii="PT Astra Serif" w:hAnsi="PT Astra Serif"/>
          <w:sz w:val="28"/>
          <w:szCs w:val="28"/>
          <w:u w:val="none"/>
        </w:rPr>
        <w:t>ЛПДС «Белгород» Мичуринского районного управления АО «Транснефть-Дружба»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 xml:space="preserve"> 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>Авсейчикову С.Н.</w:t>
      </w:r>
    </w:p>
    <w:p>
      <w:pPr>
        <w:pStyle w:val="Normal"/>
        <w:suppressAutoHyphens w:val="true"/>
        <w:spacing w:lineRule="auto" w:line="240"/>
        <w:ind w:firstLine="737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В журнал учета проверок, проводимых органами государственного контроля (надзора), внесен</w:t>
      </w:r>
      <w:r>
        <w:rPr>
          <w:rFonts w:cs="PT Astra Serif" w:ascii="PT Astra Serif" w:hAnsi="PT Astra Serif"/>
          <w:sz w:val="28"/>
          <w:szCs w:val="28"/>
        </w:rPr>
        <w:t>ы</w:t>
      </w:r>
      <w:r>
        <w:rPr>
          <w:rFonts w:cs="PT Astra Serif" w:ascii="PT Astra Serif" w:hAnsi="PT Astra Serif"/>
          <w:sz w:val="28"/>
          <w:szCs w:val="28"/>
        </w:rPr>
        <w:t xml:space="preserve"> соответствующ</w:t>
      </w:r>
      <w:r>
        <w:rPr>
          <w:rFonts w:cs="PT Astra Serif" w:ascii="PT Astra Serif" w:hAnsi="PT Astra Serif"/>
          <w:sz w:val="28"/>
          <w:szCs w:val="28"/>
        </w:rPr>
        <w:t xml:space="preserve">ие </w:t>
      </w:r>
      <w:r>
        <w:rPr>
          <w:rFonts w:cs="PT Astra Serif" w:ascii="PT Astra Serif" w:hAnsi="PT Astra Serif"/>
          <w:sz w:val="28"/>
          <w:szCs w:val="28"/>
        </w:rPr>
        <w:t>запис</w:t>
      </w:r>
      <w:r>
        <w:rPr>
          <w:rFonts w:cs="PT Astra Serif" w:ascii="PT Astra Serif" w:hAnsi="PT Astra Serif"/>
          <w:sz w:val="28"/>
          <w:szCs w:val="28"/>
        </w:rPr>
        <w:t>и</w:t>
      </w:r>
      <w:r>
        <w:rPr>
          <w:rFonts w:cs="PT Astra Serif" w:ascii="PT Astra Serif" w:hAnsi="PT Astra Serif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/>
        <w:ind w:firstLine="737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Информация о проверочных мероприятиях внесена в подсистему «Мероприятия государственного контроля» сервиса информационного обеспечения централизованного оружия (СЦУО Росгвардии). Материалы о проведенной проверке собраны в контрольно - наблюдательн</w:t>
      </w:r>
      <w:r>
        <w:rPr>
          <w:rFonts w:cs="PT Astra Serif" w:ascii="PT Astra Serif" w:hAnsi="PT Astra Serif"/>
          <w:sz w:val="28"/>
          <w:szCs w:val="28"/>
        </w:rPr>
        <w:t>ые</w:t>
      </w:r>
      <w:r>
        <w:rPr>
          <w:rFonts w:cs="PT Astra Serif" w:ascii="PT Astra Serif" w:hAnsi="PT Astra Serif"/>
          <w:sz w:val="28"/>
          <w:szCs w:val="28"/>
        </w:rPr>
        <w:t xml:space="preserve"> дел</w:t>
      </w:r>
      <w:r>
        <w:rPr>
          <w:rFonts w:cs="PT Astra Serif" w:ascii="PT Astra Serif" w:hAnsi="PT Astra Serif"/>
          <w:sz w:val="28"/>
          <w:szCs w:val="28"/>
        </w:rPr>
        <w:t>а</w:t>
      </w:r>
      <w:r>
        <w:rPr>
          <w:rFonts w:cs="PT Astra Serif" w:ascii="PT Astra Serif" w:hAnsi="PT Astra Serif"/>
          <w:sz w:val="28"/>
          <w:szCs w:val="28"/>
        </w:rPr>
        <w:t>.</w:t>
      </w:r>
    </w:p>
    <w:p>
      <w:pPr>
        <w:pStyle w:val="Normal"/>
        <w:ind w:firstLine="644" w:right="0"/>
        <w:jc w:val="both"/>
        <w:rPr/>
      </w:pPr>
      <w:r>
        <w:rPr/>
      </w:r>
    </w:p>
    <w:p>
      <w:pPr>
        <w:pStyle w:val="Normal"/>
        <w:ind w:firstLine="644" w:right="0"/>
        <w:jc w:val="both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ОГК Управления Росгвардии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 Белгородской области</w:t>
      </w:r>
    </w:p>
    <w:p>
      <w:pPr>
        <w:pStyle w:val="Normal"/>
        <w:jc w:val="both"/>
        <w:rPr/>
      </w:pPr>
      <w:r>
        <w:rPr/>
      </w:r>
      <w:bookmarkStart w:id="1" w:name="__DdeLink__470_2390065676_Копия_1"/>
      <w:bookmarkStart w:id="2" w:name="__DdeLink__470_2390065676_Копия_1"/>
      <w:bookmarkEnd w:id="2"/>
    </w:p>
    <w:sectPr>
      <w:footnotePr>
        <w:numFmt w:val="decimal"/>
      </w:footnotePr>
      <w:type w:val="nextPage"/>
      <w:pgSz w:w="11906" w:h="16838"/>
      <w:pgMar w:left="1531" w:right="1134" w:gutter="0" w:header="0" w:top="1134" w:footer="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>Далее - «Объект»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sz w:val="28"/>
    </w:rPr>
  </w:style>
  <w:style w:type="character" w:styleId="WW8Num5z0">
    <w:name w:val="WW8Num5z0"/>
    <w:qFormat/>
    <w:rPr>
      <w:color w:val="000000"/>
    </w:rPr>
  </w:style>
  <w:style w:type="character" w:styleId="WW8Num6z0">
    <w:name w:val="WW8Num6z0"/>
    <w:qFormat/>
    <w:rPr>
      <w:color w:val="000000"/>
    </w:rPr>
  </w:style>
  <w:style w:type="character" w:styleId="Style11">
    <w:name w:val="Основной шрифт абзаца"/>
    <w:qFormat/>
    <w:rPr/>
  </w:style>
  <w:style w:type="character" w:styleId="Style12">
    <w:name w:val=" Знак Знак"/>
    <w:qFormat/>
    <w:rPr>
      <w:sz w:val="28"/>
      <w:lang w:val="ru-RU" w:bidi="ar-SA"/>
    </w:rPr>
  </w:style>
  <w:style w:type="character" w:styleId="PageNumber">
    <w:name w:val="page number"/>
    <w:basedOn w:val="Style11"/>
    <w:rPr/>
  </w:style>
  <w:style w:type="character" w:styleId="user">
    <w:name w:val="Символ сноски (user)"/>
    <w:qFormat/>
    <w:rPr>
      <w:vertAlign w:val="superscript"/>
    </w:rPr>
  </w:style>
  <w:style w:type="character" w:styleId="1">
    <w:name w:val=" Знак Знак1"/>
    <w:qFormat/>
    <w:rPr>
      <w:rFonts w:ascii="Calibri" w:hAnsi="Calibri" w:cs="Calibri"/>
      <w:b/>
      <w:bCs/>
      <w:sz w:val="28"/>
      <w:szCs w:val="28"/>
    </w:rPr>
  </w:style>
  <w:style w:type="character" w:styleId="Style13">
    <w:name w:val="Слабое выделение"/>
    <w:basedOn w:val="Style11"/>
    <w:qFormat/>
    <w:rPr>
      <w:i/>
      <w:iCs/>
      <w:color w:val="808080"/>
    </w:rPr>
  </w:style>
  <w:style w:type="character" w:styleId="Style14">
    <w:name w:val="Гипертекстовая ссылка"/>
    <w:basedOn w:val="Style11"/>
    <w:qFormat/>
    <w:rPr>
      <w:color w:val="106BBE"/>
    </w:rPr>
  </w:style>
  <w:style w:type="character" w:styleId="Hyperlink">
    <w:name w:val="Hyperlink"/>
    <w:rPr>
      <w:color w:val="000080"/>
      <w:u w:val="single"/>
    </w:rPr>
  </w:style>
  <w:style w:type="character" w:styleId="FootnoteReference1">
    <w:name w:val="Footnote Reference1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WW-">
    <w:name w:val="WW-Символ концевой сноски"/>
    <w:qFormat/>
    <w:rPr/>
  </w:style>
  <w:style w:type="character" w:styleId="FootnoteReference2">
    <w:name w:val="Footnote Reference2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jc w:val="center"/>
    </w:pPr>
    <w:rPr>
      <w:b/>
      <w:bCs/>
      <w:sz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">
    <w:name w:val="Основной текст с отступом 2"/>
    <w:basedOn w:val="Normal"/>
    <w:qFormat/>
    <w:pPr>
      <w:ind w:hanging="0" w:left="360" w:right="0"/>
      <w:jc w:val="both"/>
    </w:pPr>
    <w:rPr>
      <w:szCs w:val="20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alWeb">
    <w:name w:val="Normal (Web)"/>
    <w:basedOn w:val="Normal"/>
    <w:qFormat/>
    <w:pPr>
      <w:spacing w:before="280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79</TotalTime>
  <Application>LibreOffice/25.2.6.2$Linux_X86_64 LibreOffice_project/520$Build-2</Application>
  <AppVersion>15.0000</AppVersion>
  <Pages>1</Pages>
  <Words>202</Words>
  <Characters>1418</Characters>
  <CharactersWithSpaces>1616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2025-03-18T16:14:00Z</dcterms:created>
  <dc:creator>Денисенко А.</dc:creator>
  <dc:description/>
  <dc:language>ru-RU</dc:language>
  <cp:lastModifiedBy/>
  <cp:lastPrinted>2026-06-15T15:59:52Z</cp:lastPrinted>
  <dcterms:modified xsi:type="dcterms:W3CDTF">2026-06-15T16:05:42Z</dcterms:modified>
  <cp:revision>17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