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 xml:space="preserve">ИНФОРМАЦИЯ </w:t>
      </w:r>
    </w:p>
    <w:p>
      <w:pPr>
        <w:pStyle w:val="Normal"/>
        <w:ind w:right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  <w:t xml:space="preserve">о результатах проведения </w:t>
      </w:r>
      <w:r>
        <w:rPr>
          <w:rFonts w:cs="PT Astra Serif" w:ascii="PT Astra Serif" w:hAnsi="PT Astra Serif"/>
          <w:b/>
          <w:bCs/>
          <w:sz w:val="28"/>
          <w:szCs w:val="28"/>
        </w:rPr>
        <w:t>вне</w:t>
      </w:r>
      <w:r>
        <w:rPr>
          <w:rFonts w:cs="PT Astra Serif" w:ascii="PT Astra Serif" w:hAnsi="PT Astra Serif"/>
          <w:b/>
          <w:bCs/>
          <w:sz w:val="28"/>
          <w:szCs w:val="28"/>
        </w:rPr>
        <w:t xml:space="preserve">плановой выездной проверки объекта ТЭК низкой категории опасности – </w:t>
      </w:r>
      <w:r>
        <w:rPr>
          <w:rFonts w:cs="PT Astra Serif" w:ascii="PT Astra Serif" w:hAnsi="PT Astra Serif"/>
          <w:b/>
          <w:bCs/>
          <w:sz w:val="28"/>
          <w:szCs w:val="28"/>
          <w:u w:val="none"/>
        </w:rPr>
        <w:t>НЕФТЕБАЗА ООО «ЮТТЕК»</w:t>
      </w:r>
    </w:p>
    <w:p>
      <w:pPr>
        <w:pStyle w:val="Normal"/>
        <w:ind w:right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</w:r>
    </w:p>
    <w:p>
      <w:pPr>
        <w:pStyle w:val="Normal"/>
        <w:widowControl/>
        <w:bidi w:val="0"/>
        <w:ind w:firstLine="737" w:right="0"/>
        <w:jc w:val="both"/>
        <w:rPr/>
      </w:pPr>
      <w:r>
        <w:rPr>
          <w:sz w:val="28"/>
          <w:szCs w:val="28"/>
        </w:rPr>
        <w:t xml:space="preserve">Во исполнение требований Правил осуществления федерального государственного контроля (надзора) за обеспечением безопасности объектов топливно-энергетического комплекса, которым присвоена категория опасности, утвержденных </w:t>
      </w:r>
      <w:r>
        <w:fldChar w:fldCharType="begin"/>
      </w:r>
      <w:r>
        <w:rPr>
          <w:rStyle w:val="Hyperlink"/>
          <w:sz w:val="28"/>
          <w:u w:val="none"/>
          <w:szCs w:val="28"/>
          <w:bCs/>
          <w:color w:val="000000"/>
        </w:rPr>
        <w:instrText xml:space="preserve"> HYPERLINK "../../../../../D:%5C%D0%9C%D0%BE%D0%B8%20%D0%B4%D0%BE%D0%BA%D1%83%D0%BC%D0%B5%D0%BD%D1%82%D1%8B%5C%D0%9E%D1%81%D0%BD%D0%BE%D0%B2%D0%BD%D0%B0%D1%8F%20%D0%B4%D0%B5%D1%8F%D1%82%D0%B5%D0%BB%D1%8C%D0%BD%D0%BE%D1%81%D1%82%D1%8C%5C%D0%9E%D0%B1%D1%8A%D0%B5%D0%BA%D1%82%D1%8B%20%D0%A2%D0%AD%D0%9A%5C%D0%9F%D1%80%D0%BE%D0%B2%D0%B5%D1%80%D0%BA%D0%B8%20%D0%BE%D0%B1%D1%8A%D0%B5%D0%BA%D1%82%D0%BE%D0%B2%20%D0%A2%D0%AD%D0%9A%5C%D0%9F%D1%80%D0%BE%D0%B2%D0%B5%D1%80%D0%BA%D0%B8%202024%D0%B3%5C%D0%9E%D0%9E%D0%9E%20%D0%9C%D0%B0%D1%81%D1%82%D0%B5%D1%80%D0%BE%D0%B9%D0%BB%20(%D0%B2%D0%BD%D0%B5%D0%BF%D0%BB%D0%B0%D0%BD%D0%BE%D0%B2%D0%B0%D1%8F)%5C%D0%94%D0%BE%D0%BA%D1%83%D0%BC%D0%B5%D0%BD%D1%82%D0%B0%D1%86%D0%B8%D1%8F%5C%D0%A3%D0%B2%D0%B5%D0%B4%D0%BE%D0%BC%D0%BB%D0%B5%D0%BD%D0%B8%D0%B5%20%D0%BE%20%D0%B2%D0%BD%D0%B5%D0%BF%D0%BB%D0%B0%D0%BD%D0%BE%D0%B2%D0%BE%D0%B9%20%D0%BF%D1%80%D0%BE%D0%B2%D0%B5%D1%80%D0%BA%D0%B5%20%D1%85%D1%80%D0%B0%D0%BD%D0%B8%D0%BB%D0%B8%D1%89%D0%B0%20%D0%9E%D0%9E%D0%9E%20%D0%9C%D0%B0%D1%81%D1%82%D0%B5%D1%80%D0%BE%D0%B9%D0%BB.doc" \l "sub_0%23sub_0"</w:instrText>
      </w:r>
      <w:r>
        <w:rPr>
          <w:rStyle w:val="Hyperlink"/>
          <w:sz w:val="28"/>
          <w:u w:val="none"/>
          <w:szCs w:val="28"/>
          <w:bCs/>
          <w:color w:val="000000"/>
        </w:rPr>
        <w:fldChar w:fldCharType="separate"/>
      </w:r>
      <w:r>
        <w:rPr>
          <w:rStyle w:val="Hyperlink"/>
          <w:bCs/>
          <w:color w:val="000000"/>
          <w:sz w:val="28"/>
          <w:szCs w:val="28"/>
          <w:u w:val="none"/>
        </w:rPr>
        <w:t>постановлением</w:t>
      </w:r>
      <w:r>
        <w:rPr>
          <w:rStyle w:val="Hyperlink"/>
          <w:sz w:val="28"/>
          <w:u w:val="none"/>
          <w:szCs w:val="28"/>
          <w:bCs/>
          <w:color w:val="000000"/>
        </w:rPr>
        <w:fldChar w:fldCharType="end"/>
      </w:r>
      <w:r>
        <w:rPr>
          <w:sz w:val="28"/>
          <w:szCs w:val="28"/>
        </w:rPr>
        <w:t xml:space="preserve"> Правительства РФ от 12 мая 2023 г. № 740, </w:t>
      </w:r>
      <w:r>
        <w:rPr>
          <w:rFonts w:cs="PT Astra Serif" w:ascii="PT Astra Serif" w:hAnsi="PT Astra Serif"/>
          <w:sz w:val="28"/>
          <w:szCs w:val="28"/>
        </w:rPr>
        <w:t>в соответствии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 с </w:t>
      </w:r>
      <w:r>
        <w:rPr>
          <w:rFonts w:cs="Times New Roman"/>
          <w:sz w:val="28"/>
          <w:szCs w:val="28"/>
          <w:u w:val="none"/>
        </w:rPr>
        <w:t xml:space="preserve">распоряжением Управления Росгвардии по Белгородской области </w:t>
      </w:r>
      <w:r>
        <w:rPr>
          <w:rFonts w:cs="Times New Roman"/>
          <w:sz w:val="27"/>
          <w:szCs w:val="27"/>
          <w:u w:val="none"/>
        </w:rPr>
        <w:t>от 29 июня 2026 г. № 116</w:t>
      </w:r>
      <w:r>
        <w:rPr>
          <w:rFonts w:cs="Times New Roman"/>
          <w:sz w:val="28"/>
          <w:szCs w:val="28"/>
          <w:u w:val="none"/>
        </w:rPr>
        <w:t xml:space="preserve"> «О проведении внеплановой проверки»</w:t>
      </w:r>
      <w:r>
        <w:rPr>
          <w:rFonts w:cs="PT Astra Serif" w:ascii="PT Astra Serif" w:hAnsi="PT Astra Serif"/>
          <w:sz w:val="28"/>
          <w:szCs w:val="28"/>
          <w:u w:val="none"/>
        </w:rPr>
        <w:t>, в период с 6 по 30 июля 2026 года сотрудниками отделения государственного контроля осуществлялась вне</w:t>
      </w:r>
      <w:r>
        <w:rPr>
          <w:rFonts w:cs="PT Astra Serif" w:ascii="PT Astra Serif" w:hAnsi="PT Astra Serif"/>
          <w:sz w:val="28"/>
          <w:szCs w:val="28"/>
        </w:rPr>
        <w:t xml:space="preserve">плановая выездная проверка объекта ТЭК низкой категории опасности – </w:t>
      </w:r>
      <w:r>
        <w:rPr>
          <w:rFonts w:cs="PT Astra Serif" w:ascii="PT Astra Serif" w:hAnsi="PT Astra Serif"/>
          <w:b w:val="false"/>
          <w:bCs w:val="false"/>
          <w:sz w:val="28"/>
          <w:szCs w:val="28"/>
          <w:u w:val="none"/>
        </w:rPr>
        <w:t>НЕФТЕБАЗА ООО «ЮТТЕК»</w:t>
      </w:r>
      <w:bookmarkStart w:id="0" w:name="__DdeLink__56_1154975931"/>
      <w:r>
        <w:rPr>
          <w:rStyle w:val="FootnoteReference"/>
          <w:rFonts w:cs="PT Astra Serif" w:ascii="PT Astra Serif" w:hAnsi="PT Astra Serif"/>
          <w:b w:val="false"/>
          <w:bCs w:val="false"/>
          <w:color w:val="000000"/>
          <w:sz w:val="28"/>
          <w:szCs w:val="28"/>
        </w:rPr>
        <w:footnoteReference w:id="2"/>
      </w:r>
      <w:r>
        <w:rPr>
          <w:rFonts w:cs="PT Astra Serif" w:ascii="PT Astra Serif" w:hAnsi="PT Astra Serif"/>
          <w:b w:val="false"/>
          <w:bCs w:val="false"/>
          <w:color w:val="000000"/>
          <w:sz w:val="28"/>
          <w:szCs w:val="28"/>
        </w:rPr>
        <w:t>.</w:t>
      </w:r>
      <w:bookmarkEnd w:id="0"/>
    </w:p>
    <w:p>
      <w:pPr>
        <w:pStyle w:val="Normal"/>
        <w:suppressAutoHyphens w:val="true"/>
        <w:spacing w:lineRule="auto" w:line="240"/>
        <w:ind w:firstLine="737" w:right="0"/>
        <w:jc w:val="both"/>
        <w:rPr>
          <w:color w:val="000000"/>
        </w:rPr>
      </w:pPr>
      <w:r>
        <w:rPr>
          <w:rFonts w:cs="PT Astra Serif" w:ascii="PT Astra Serif" w:hAnsi="PT Astra Serif"/>
          <w:color w:val="000000"/>
          <w:sz w:val="28"/>
          <w:szCs w:val="28"/>
        </w:rPr>
        <w:t>В ходе проведения внеплановой проверки выявлено 1 нарушение Требований обеспечения безопасности и антитеррористической защищенности объектов топливно-энергетического комплекса, утвержденных Постановлением Правительства РФ от 3 августа 2024 года                             № 1046.</w:t>
      </w:r>
    </w:p>
    <w:p>
      <w:pPr>
        <w:pStyle w:val="Normal"/>
        <w:suppressAutoHyphens w:val="true"/>
        <w:spacing w:lineRule="auto" w:line="240"/>
        <w:ind w:firstLine="737" w:right="0"/>
        <w:jc w:val="both"/>
        <w:rPr>
          <w:sz w:val="27"/>
          <w:szCs w:val="27"/>
        </w:rPr>
      </w:pP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 xml:space="preserve">По итогам проведения внеплановой проверки составлены: акт </w:t>
        <w:br/>
      </w:r>
      <w:r>
        <w:rPr>
          <w:rFonts w:cs="PT Astra Serif" w:ascii="PT Astra Serif" w:hAnsi="PT Astra Serif"/>
          <w:color w:val="000000"/>
          <w:sz w:val="28"/>
          <w:szCs w:val="28"/>
          <w:u w:val="none"/>
          <w:shd w:fill="auto" w:val="clear"/>
        </w:rPr>
        <w:t>№ 19-31-2026 от 30 июля 2026 года, предписание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 об устранении выявленных нарушений № 6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ru-RU" w:bidi="ar-SA"/>
        </w:rPr>
        <w:t>от 30 июля 2026 года, протокол на юридическое лицо № 31 ОГК 203 8 31 07 26 0000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>010 от 31 июля 2026 года</w:t>
      </w:r>
      <w:r>
        <w:rPr>
          <w:rFonts w:cs="PT Astra Serif" w:ascii="PT Astra Serif" w:hAnsi="PT Astra Serif"/>
          <w:color w:val="000000"/>
          <w:sz w:val="28"/>
          <w:szCs w:val="28"/>
          <w:u w:val="none"/>
          <w:shd w:fill="auto" w:val="clear"/>
        </w:rPr>
        <w:t xml:space="preserve">, протокол на должностное лицо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№ 31 ОГК 203 8 31 07 26 000009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ru-RU" w:bidi="ar-SA"/>
        </w:rPr>
        <w:t>от 31 июля 2026 года,</w:t>
      </w: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 xml:space="preserve"> которые вручены генеральному директору ООО «ЮТТЕК» Турцеву Ю.В.</w:t>
      </w:r>
    </w:p>
    <w:p>
      <w:pPr>
        <w:pStyle w:val="Normal"/>
        <w:suppressAutoHyphens w:val="true"/>
        <w:spacing w:lineRule="auto" w:line="240"/>
        <w:ind w:firstLine="737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В журнал учета проверок, проводимых органами государственного контроля (надзора), внесена соответствующая запись.</w:t>
      </w:r>
    </w:p>
    <w:p>
      <w:pPr>
        <w:pStyle w:val="Normal"/>
        <w:suppressAutoHyphens w:val="true"/>
        <w:spacing w:lineRule="auto" w:line="240"/>
        <w:ind w:firstLine="737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Информация о проверочных мероприятиях внесена в подсистему «Мероприятия государственного контроля» сервиса информационного обеспечения централизованного оружия (СЦУО Росгвардии). Материалы о проведенной проверке собраны в контрольно - наблюдательное дело.</w:t>
      </w:r>
    </w:p>
    <w:p>
      <w:pPr>
        <w:pStyle w:val="Normal"/>
        <w:ind w:firstLine="644" w:right="0"/>
        <w:jc w:val="both"/>
        <w:rPr/>
      </w:pPr>
      <w:r>
        <w:rPr/>
      </w:r>
    </w:p>
    <w:p>
      <w:pPr>
        <w:pStyle w:val="Normal"/>
        <w:ind w:firstLine="644" w:right="0"/>
        <w:jc w:val="both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ОГК Управления Росгвардии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 Белгородской области</w:t>
      </w:r>
    </w:p>
    <w:p>
      <w:pPr>
        <w:pStyle w:val="Normal"/>
        <w:jc w:val="both"/>
        <w:rPr/>
      </w:pPr>
      <w:r>
        <w:rPr/>
      </w:r>
      <w:bookmarkStart w:id="1" w:name="__DdeLink__470_2390065676_Копия_1"/>
      <w:bookmarkStart w:id="2" w:name="__DdeLink__470_2390065676_Копия_1"/>
      <w:bookmarkEnd w:id="2"/>
    </w:p>
    <w:sectPr>
      <w:footnotePr>
        <w:numFmt w:val="decimal"/>
      </w:footnotePr>
      <w:type w:val="nextPage"/>
      <w:pgSz w:w="11906" w:h="16838"/>
      <w:pgMar w:left="1531" w:right="1134" w:gutter="0" w:header="0" w:top="1134" w:footer="0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Style15"/>
        </w:rPr>
        <w:footnoteRef/>
      </w:r>
      <w:r>
        <w:rPr/>
        <w:t xml:space="preserve"> </w:t>
      </w:r>
      <w:r>
        <w:rPr/>
        <w:t>Далее - «Объект»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sz w:val="28"/>
    </w:rPr>
  </w:style>
  <w:style w:type="character" w:styleId="WW8Num5z0">
    <w:name w:val="WW8Num5z0"/>
    <w:qFormat/>
    <w:rPr>
      <w:color w:val="000000"/>
    </w:rPr>
  </w:style>
  <w:style w:type="character" w:styleId="WW8Num6z0">
    <w:name w:val="WW8Num6z0"/>
    <w:qFormat/>
    <w:rPr>
      <w:color w:val="000000"/>
    </w:rPr>
  </w:style>
  <w:style w:type="character" w:styleId="Style11">
    <w:name w:val="Основной шрифт абзаца"/>
    <w:qFormat/>
    <w:rPr/>
  </w:style>
  <w:style w:type="character" w:styleId="Style12">
    <w:name w:val=" Знак Знак"/>
    <w:qFormat/>
    <w:rPr>
      <w:sz w:val="28"/>
      <w:lang w:val="ru-RU" w:bidi="ar-SA"/>
    </w:rPr>
  </w:style>
  <w:style w:type="character" w:styleId="PageNumber">
    <w:name w:val="page number"/>
    <w:basedOn w:val="Style11"/>
    <w:rPr/>
  </w:style>
  <w:style w:type="character" w:styleId="user">
    <w:name w:val="Символ сноски (user)"/>
    <w:qFormat/>
    <w:rPr>
      <w:vertAlign w:val="superscript"/>
    </w:rPr>
  </w:style>
  <w:style w:type="character" w:styleId="1">
    <w:name w:val=" Знак Знак1"/>
    <w:qFormat/>
    <w:rPr>
      <w:rFonts w:ascii="Calibri" w:hAnsi="Calibri" w:cs="Calibri"/>
      <w:b/>
      <w:bCs/>
      <w:sz w:val="28"/>
      <w:szCs w:val="28"/>
    </w:rPr>
  </w:style>
  <w:style w:type="character" w:styleId="Style13">
    <w:name w:val="Слабое выделение"/>
    <w:basedOn w:val="Style11"/>
    <w:qFormat/>
    <w:rPr>
      <w:i/>
      <w:iCs/>
      <w:color w:val="808080"/>
    </w:rPr>
  </w:style>
  <w:style w:type="character" w:styleId="Style14">
    <w:name w:val="Гипертекстовая ссылка"/>
    <w:basedOn w:val="Style11"/>
    <w:qFormat/>
    <w:rPr>
      <w:color w:val="106BBE"/>
    </w:rPr>
  </w:style>
  <w:style w:type="character" w:styleId="Hyperlink">
    <w:name w:val="Hyperlink"/>
    <w:rPr>
      <w:color w:val="000080"/>
      <w:u w:val="single"/>
    </w:rPr>
  </w:style>
  <w:style w:type="character" w:styleId="FootnoteReference1">
    <w:name w:val="Footnote Reference1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WW-">
    <w:name w:val="WW-Символ концевой сноски"/>
    <w:qFormat/>
    <w:rPr/>
  </w:style>
  <w:style w:type="character" w:styleId="FootnoteReference2">
    <w:name w:val="Footnote Reference2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jc w:val="center"/>
    </w:pPr>
    <w:rPr>
      <w:b/>
      <w:bCs/>
      <w:sz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">
    <w:name w:val="Основной текст с отступом 2"/>
    <w:basedOn w:val="Normal"/>
    <w:qFormat/>
    <w:pPr>
      <w:ind w:hanging="0" w:left="360" w:right="0"/>
      <w:jc w:val="both"/>
    </w:pPr>
    <w:rPr>
      <w:szCs w:val="20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4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Обычный (веб)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NormalWeb">
    <w:name w:val="Normal (Web)"/>
    <w:basedOn w:val="Normal"/>
    <w:qFormat/>
    <w:pPr>
      <w:spacing w:before="280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76</TotalTime>
  <Application>LibreOffice/25.2.6.2$Linux_X86_64 LibreOffice_project/520$Build-2</Application>
  <AppVersion>15.0000</AppVersion>
  <Pages>1</Pages>
  <Words>236</Words>
  <Characters>1586</Characters>
  <CharactersWithSpaces>1846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2025-03-18T16:14:00Z</dcterms:created>
  <dc:creator>Денисенко А.</dc:creator>
  <dc:description/>
  <dc:language>ru-RU</dc:language>
  <cp:lastModifiedBy/>
  <cp:lastPrinted>2026-07-30T15:25:47Z</cp:lastPrinted>
  <dcterms:modified xsi:type="dcterms:W3CDTF">2026-07-30T15:25:51Z</dcterms:modified>
  <cp:revision>20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