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  <w:t xml:space="preserve">ИНФОРМАЦИЯ </w:t>
      </w:r>
    </w:p>
    <w:p>
      <w:pPr>
        <w:pStyle w:val="Normal"/>
        <w:ind w:right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cs="PT Astra Serif" w:ascii="PT Astra Serif" w:hAnsi="PT Astra Serif"/>
          <w:b/>
          <w:bCs/>
          <w:sz w:val="28"/>
          <w:szCs w:val="28"/>
        </w:rPr>
        <w:t xml:space="preserve">о результатах проведения внеплановой выездной проверки объекта ТЭК низкой категории опасности – </w:t>
      </w:r>
    </w:p>
    <w:p>
      <w:pPr>
        <w:pStyle w:val="Normal"/>
        <w:suppressAutoHyphens w:val="true"/>
        <w:spacing w:lineRule="auto" w:line="240"/>
        <w:ind w:firstLine="737" w:right="0"/>
        <w:jc w:val="center"/>
        <w:rPr/>
      </w:pPr>
      <w:r>
        <w:rPr>
          <w:rFonts w:eastAsia="Times New Roman" w:cs="Times New Roman" w:ascii="PT Astra Serif" w:hAnsi="PT Astra Serif"/>
          <w:b/>
          <w:bCs/>
          <w:i w:val="false"/>
          <w:iCs w:val="false"/>
          <w:color w:val="000000"/>
          <w:sz w:val="28"/>
          <w:szCs w:val="28"/>
          <w:u w:val="none"/>
          <w:lang w:val="ru-RU" w:eastAsia="zh-CN" w:bidi="ar-SA"/>
        </w:rPr>
        <w:t>ГРС ОЭМК ООО «Газпром трансгаз Москва»</w:t>
      </w:r>
    </w:p>
    <w:p>
      <w:pPr>
        <w:pStyle w:val="Normal"/>
        <w:ind w:right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widowControl/>
        <w:bidi w:val="0"/>
        <w:ind w:firstLine="737" w:right="0"/>
        <w:jc w:val="both"/>
        <w:rPr/>
      </w:pPr>
      <w:r>
        <w:rPr>
          <w:sz w:val="28"/>
          <w:szCs w:val="28"/>
        </w:rPr>
        <w:t xml:space="preserve">Во исполнение требований Правил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утвержденных </w:t>
      </w:r>
      <w:r>
        <w:fldChar w:fldCharType="begin"/>
      </w:r>
      <w:r>
        <w:rPr>
          <w:rStyle w:val="Hyperlink"/>
          <w:bCs/>
          <w:color w:val="000000"/>
          <w:sz w:val="28"/>
          <w:szCs w:val="28"/>
          <w:u w:val="none"/>
        </w:rPr>
        <w:instrText xml:space="preserve"> HYPERLINK "../../../../D:%5C%D0%9C%D0%BE%D0%B8%20%D0%B4%D0%BE%D0%BA%D1%83%D0%BC%D0%B5%D0%BD%D1%82%D1%8B%5C%D0%9E%D1%81%D0%BD%D0%BE%D0%B2%D0%BD%D0%B0%D1%8F%20%D0%B4%D0%B5%D1%8F%D1%82%D0%B5%D0%BB%D1%8C%D0%BD%D0%BE%D1%81%D1%82%D1%8C%5C%D0%9E%D0%B1%D1%8A%D0%B5%D0%BA%D1%82%D1%8B%20%D0%A2%D0%AD%D0%9A%5C%D0%9F%D1%80%D0%BE%D0%B2%D0%B5%D1%80%D0%BA%D0%B8%20%D0%BE%D0%B1%D1%8A%D0%B5%D0%BA%D1%82%D0%BE%D0%B2%20%D0%A2%D0%AD%D0%9A%5C%D0%9F%D1%80%D0%BE%D0%B2%D0%B5%D1%80%D0%BA%D0%B8%202024%D0%B3%5C%D0%9E%D0%9E%D0%9E%20%D0%9C%D0%B0%D1%81%D1%82%D0%B5%D1%80%D0%BE%D0%B9%D0%BB%20(%D0%B2%D0%BD%D0%B5%D0%BF%D0%BB%D0%B0%D0%BD%D0%BE%D0%B2%D0%B0%D1%8F)%5C%D0%94%D0%BE%D0%BA%D1%83%D0%BC%D0%B5%D0%BD%D1%82%D0%B0%D1%86%D0%B8%D1%8F%5C%D0%A3%D0%B2%D0%B5%D0%B4%D0%BE%D0%BC%D0%BB%D0%B5%D0%BD%D0%B8%D0%B5%20%D0%BE%20%D0%B2%D0%BD%D0%B5%D0%BF%D0%BB%D0%B0%D0%BD%D0%BE%D0%B2%D0%BE%D0%B9%20%D0%BF%D1%80%D0%BE%D0%B2%D0%B5%D1%80%D0%BA%D0%B5%20%D1%85%D1%80%D0%B0%D0%BD%D0%B8%D0%BB%D0%B8%D1%89%D0%B0%20%D0%9E%D0%9E%D0%9E%20%D0%9C%D0%B0%D1%81%D1%82%D0%B5%D1%80%D0%BE%D0%B9%D0%BB.doc" \l "sub_0%23sub_0"</w:instrText>
      </w:r>
      <w:r>
        <w:rPr>
          <w:rStyle w:val="Hyperlink"/>
          <w:bCs/>
          <w:color w:val="000000"/>
          <w:sz w:val="28"/>
          <w:szCs w:val="28"/>
          <w:u w:val="none"/>
        </w:rPr>
        <w:fldChar w:fldCharType="separate"/>
      </w:r>
      <w:r>
        <w:rPr>
          <w:rStyle w:val="Hyperlink"/>
          <w:bCs/>
          <w:color w:val="000000"/>
          <w:sz w:val="28"/>
          <w:szCs w:val="28"/>
          <w:u w:val="none"/>
        </w:rPr>
        <w:t>постановлением</w:t>
      </w:r>
      <w:r>
        <w:rPr>
          <w:rStyle w:val="Hyperlink"/>
          <w:bCs/>
          <w:color w:val="000000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Правительства РФ от 12 мая 2023 г. № 740, </w:t>
      </w:r>
      <w:r>
        <w:rPr>
          <w:rFonts w:cs="PT Astra Serif" w:ascii="PT Astra Serif" w:hAnsi="PT Astra Serif"/>
          <w:sz w:val="28"/>
          <w:szCs w:val="28"/>
        </w:rPr>
        <w:t>в соответствии</w:t>
      </w:r>
      <w:r>
        <w:rPr>
          <w:rFonts w:cs="PT Astra Serif" w:ascii="PT Astra Serif" w:hAnsi="PT Astra Serif"/>
          <w:sz w:val="28"/>
          <w:szCs w:val="28"/>
          <w:u w:val="none"/>
        </w:rPr>
        <w:t xml:space="preserve"> с распоряжением</w:t>
      </w:r>
      <w:r>
        <w:rPr>
          <w:rFonts w:cs="Times New Roman"/>
          <w:sz w:val="28"/>
          <w:szCs w:val="28"/>
          <w:u w:val="none"/>
        </w:rPr>
        <w:t xml:space="preserve"> Управления Росгвардии по Белгородской области 20 июля 2026 г. № 146 «О проведении внеплановой проверки»</w:t>
      </w:r>
      <w:r>
        <w:rPr>
          <w:rFonts w:cs="PT Astra Serif" w:ascii="PT Astra Serif" w:hAnsi="PT Astra Serif"/>
          <w:sz w:val="28"/>
          <w:szCs w:val="28"/>
          <w:u w:val="none"/>
        </w:rPr>
        <w:t>, в период с 10 по 31 августа 2026 года сотрудниками отделения государственного контроля осуществлялась вне</w:t>
      </w:r>
      <w:r>
        <w:rPr>
          <w:rFonts w:cs="PT Astra Serif" w:ascii="PT Astra Serif" w:hAnsi="PT Astra Serif"/>
          <w:sz w:val="28"/>
          <w:szCs w:val="28"/>
        </w:rPr>
        <w:t>плановая выездная проверка объекта ТЭК низкой категории опасности –</w:t>
      </w:r>
      <w:r>
        <w:rPr>
          <w:rFonts w:cs="PT Astra Serif" w:ascii="PT Astra Serif" w:hAnsi="PT Astra Serif"/>
          <w:i w:val="false"/>
          <w:iCs w:val="false"/>
          <w:color w:val="000000"/>
          <w:sz w:val="28"/>
          <w:szCs w:val="28"/>
          <w:u w:val="none"/>
        </w:rPr>
        <w:t xml:space="preserve"> ГРС ОЭМК</w:t>
      </w:r>
      <w:r>
        <w:rPr>
          <w:rFonts w:eastAsia="Times New Roman" w:cs="Times New Roman" w:ascii="PT Astra Serif" w:hAnsi="PT Astra Serif"/>
          <w:i w:val="false"/>
          <w:iCs w:val="false"/>
          <w:color w:val="000000"/>
          <w:sz w:val="28"/>
          <w:szCs w:val="28"/>
          <w:u w:val="none"/>
          <w:lang w:val="ru-RU" w:eastAsia="zh-CN" w:bidi="ar-SA"/>
        </w:rPr>
        <w:t xml:space="preserve"> ООО «Газпром трансгаз Москва»</w:t>
      </w:r>
      <w:bookmarkStart w:id="0" w:name="__DdeLink__56_1154975931"/>
      <w:r>
        <w:rPr>
          <w:rFonts w:cs="PT Astra Serif" w:ascii="PT Astra Serif" w:hAnsi="PT Astra Serif"/>
          <w:b w:val="false"/>
          <w:bCs w:val="false"/>
          <w:sz w:val="28"/>
          <w:szCs w:val="28"/>
        </w:rPr>
        <w:t>.</w:t>
      </w:r>
      <w:bookmarkEnd w:id="0"/>
    </w:p>
    <w:p>
      <w:pPr>
        <w:pStyle w:val="Normal"/>
        <w:suppressAutoHyphens w:val="true"/>
        <w:spacing w:lineRule="auto" w:line="240"/>
        <w:ind w:firstLine="737"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  <w:t>В ходе проведения внеплановой проверки были выявлены нарушения Требований обеспечения безопасности и антитеррористической защищенности объектов топливно-энергетического комплекса, утвержденных Постановлением Правительства РФ от 3 августа 2024 года   № 1046.</w:t>
      </w:r>
    </w:p>
    <w:p>
      <w:pPr>
        <w:pStyle w:val="Normal"/>
        <w:suppressAutoHyphens w:val="true"/>
        <w:spacing w:lineRule="auto" w:line="240"/>
        <w:ind w:firstLine="737" w:right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  <w:u w:val="none"/>
        </w:rPr>
        <w:t>По итогам проведения внеплановой проверки подготовлен акт проведения внеплановой проверки № 36-31-2026 от 31 августа 2026 года</w:t>
      </w:r>
      <w:r>
        <w:rPr>
          <w:rFonts w:eastAsia="Times New Roman" w:cs="PT Astra Serif" w:ascii="PT Astra Serif" w:hAnsi="PT Astra Serif"/>
          <w:b w:val="false"/>
          <w:bCs w:val="false"/>
          <w:i w:val="false"/>
          <w:iCs w:val="false"/>
          <w:color w:val="000000"/>
          <w:sz w:val="28"/>
          <w:szCs w:val="28"/>
          <w:u w:val="none"/>
          <w:lang w:val="ru-RU" w:eastAsia="ru-RU" w:bidi="ar-SA"/>
        </w:rPr>
        <w:t>. Составлены протоколы об административном нарушении в отношении юридического и должностного лица.</w:t>
      </w:r>
    </w:p>
    <w:p>
      <w:pPr>
        <w:pStyle w:val="Normal"/>
        <w:suppressAutoHyphens w:val="true"/>
        <w:spacing w:lineRule="auto" w:line="240"/>
        <w:ind w:firstLine="737"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  <w:t>В журнал учета проверок, проводимых органами государственного контроля (надзора), внесена соответствующая запись.</w:t>
      </w:r>
    </w:p>
    <w:p>
      <w:pPr>
        <w:pStyle w:val="Normal"/>
        <w:suppressAutoHyphens w:val="true"/>
        <w:spacing w:lineRule="auto" w:line="240"/>
        <w:ind w:firstLine="737"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  <w:t>Информация о проверочных мероприятиях внесена в подсистему «Мероприятия государственного контроля» сервиса информационного обеспечения централизованного оружия (СЦУО Росгвардии). Материалы о проведенной проверке собраны в контрольно - наблюдательное дело.</w:t>
      </w:r>
    </w:p>
    <w:p>
      <w:pPr>
        <w:pStyle w:val="Normal"/>
        <w:ind w:firstLine="644" w:right="0"/>
        <w:jc w:val="both"/>
        <w:rPr/>
      </w:pPr>
      <w:r>
        <w:rPr/>
      </w:r>
    </w:p>
    <w:p>
      <w:pPr>
        <w:pStyle w:val="Normal"/>
        <w:ind w:firstLine="644" w:right="0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ОГК Управления Росгвардии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 Белгородской области</w:t>
      </w:r>
    </w:p>
    <w:p>
      <w:pPr>
        <w:pStyle w:val="Normal"/>
        <w:jc w:val="both"/>
        <w:rPr/>
      </w:pPr>
      <w:r>
        <w:rPr/>
      </w:r>
      <w:bookmarkStart w:id="1" w:name="__DdeLink__470_2390065676_Копия_1"/>
      <w:bookmarkStart w:id="2" w:name="__DdeLink__470_2390065676_Копия_1"/>
      <w:bookmarkEnd w:id="2"/>
    </w:p>
    <w:sectPr>
      <w:type w:val="nextPage"/>
      <w:pgSz w:w="11906" w:h="16838"/>
      <w:pgMar w:left="1531" w:right="1134" w:gutter="0" w:header="0" w:top="1134" w:footer="0" w:bottom="113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mirrorMargins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Cs w:val="20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WW8Num1z0">
    <w:name w:val="WW8Num1z0"/>
    <w:qFormat/>
    <w:rPr>
      <w:color w:val="000000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sz w:val="28"/>
    </w:rPr>
  </w:style>
  <w:style w:type="character" w:styleId="WW8Num5z0">
    <w:name w:val="WW8Num5z0"/>
    <w:qFormat/>
    <w:rPr>
      <w:color w:val="000000"/>
    </w:rPr>
  </w:style>
  <w:style w:type="character" w:styleId="WW8Num6z0">
    <w:name w:val="WW8Num6z0"/>
    <w:qFormat/>
    <w:rPr>
      <w:color w:val="000000"/>
    </w:rPr>
  </w:style>
  <w:style w:type="character" w:styleId="Style11">
    <w:name w:val="Основной шрифт абзаца"/>
    <w:qFormat/>
    <w:rPr/>
  </w:style>
  <w:style w:type="character" w:styleId="Style12">
    <w:name w:val=" Знак Знак"/>
    <w:qFormat/>
    <w:rPr>
      <w:sz w:val="28"/>
      <w:lang w:val="ru-RU" w:bidi="ar-SA"/>
    </w:rPr>
  </w:style>
  <w:style w:type="character" w:styleId="PageNumber">
    <w:name w:val="page number"/>
    <w:basedOn w:val="Style11"/>
    <w:rPr/>
  </w:style>
  <w:style w:type="character" w:styleId="user">
    <w:name w:val="Символ сноски (user)"/>
    <w:qFormat/>
    <w:rPr>
      <w:vertAlign w:val="superscript"/>
    </w:rPr>
  </w:style>
  <w:style w:type="character" w:styleId="1">
    <w:name w:val=" Знак Знак1"/>
    <w:qFormat/>
    <w:rPr>
      <w:rFonts w:ascii="Calibri" w:hAnsi="Calibri" w:cs="Calibri"/>
      <w:b/>
      <w:bCs/>
      <w:sz w:val="28"/>
      <w:szCs w:val="28"/>
    </w:rPr>
  </w:style>
  <w:style w:type="character" w:styleId="Style13">
    <w:name w:val="Слабое выделение"/>
    <w:basedOn w:val="Style11"/>
    <w:qFormat/>
    <w:rPr>
      <w:i/>
      <w:iCs/>
      <w:color w:val="808080"/>
    </w:rPr>
  </w:style>
  <w:style w:type="character" w:styleId="Style14">
    <w:name w:val="Гипертекстовая ссылка"/>
    <w:basedOn w:val="Style11"/>
    <w:qFormat/>
    <w:rPr>
      <w:color w:val="106BBE"/>
    </w:rPr>
  </w:style>
  <w:style w:type="character" w:styleId="Hyperlink">
    <w:name w:val="Hyperlink"/>
    <w:rPr>
      <w:color w:val="000080"/>
      <w:u w:val="single"/>
    </w:rPr>
  </w:style>
  <w:style w:type="character" w:styleId="FootnoteReference1">
    <w:name w:val="Footnote Reference1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FootnoteReference2">
    <w:name w:val="Footnote Reference2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3">
    <w:name w:val="Footnote Reference3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footnotereference4">
    <w:name w:val="footnote reference4"/>
    <w:qFormat/>
    <w:rPr>
      <w:vertAlign w:val="superscript"/>
    </w:rPr>
  </w:style>
  <w:style w:type="character" w:styleId="endnotereference3">
    <w:name w:val="endnote reference3"/>
    <w:qFormat/>
    <w:rPr>
      <w:vertAlign w:val="superscript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7">
    <w:name w:val="Нижний колонтитул Знак"/>
    <w:qFormat/>
    <w:rPr>
      <w:sz w:val="24"/>
      <w:szCs w:val="24"/>
      <w:lang w:eastAsia="zh-CN"/>
    </w:rPr>
  </w:style>
  <w:style w:type="character" w:styleId="Style18">
    <w:name w:val="Верхний колонтитул Знак"/>
    <w:qFormat/>
    <w:rPr>
      <w:sz w:val="24"/>
      <w:szCs w:val="24"/>
      <w:lang w:eastAsia="zh-CN"/>
    </w:rPr>
  </w:style>
  <w:style w:type="character" w:styleId="Style19">
    <w:name w:val="Знак сноски"/>
    <w:qFormat/>
    <w:rPr>
      <w:vertAlign w:val="superscript"/>
    </w:rPr>
  </w:style>
  <w:style w:type="character" w:styleId="Style20">
    <w:name w:val="Текст концевой сноски Знак"/>
    <w:qFormat/>
    <w:rPr>
      <w:lang w:eastAsia="zh-CN"/>
    </w:rPr>
  </w:style>
  <w:style w:type="character" w:styleId="Style21">
    <w:name w:val="Текст сноски Знак"/>
    <w:qFormat/>
    <w:rPr>
      <w:lang w:eastAsia="zh-CN"/>
    </w:rPr>
  </w:style>
  <w:style w:type="character" w:styleId="11">
    <w:name w:val="Основной шрифт абзаца1"/>
    <w:qFormat/>
    <w:rPr/>
  </w:style>
  <w:style w:type="character" w:styleId="2">
    <w:name w:val="Основной шрифт абзаца2"/>
    <w:qFormat/>
    <w:rPr/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jc w:val="center"/>
    </w:pPr>
    <w:rPr>
      <w:b/>
      <w:bCs/>
      <w:sz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Основной текст с отступом 2"/>
    <w:basedOn w:val="Normal"/>
    <w:qFormat/>
    <w:pPr>
      <w:ind w:hanging="0" w:left="360" w:right="0"/>
      <w:jc w:val="both"/>
    </w:pPr>
    <w:rPr>
      <w:szCs w:val="20"/>
    </w:rPr>
  </w:style>
  <w:style w:type="paragraph" w:styleId="Style24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5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8"/>
      <w:szCs w:val="20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7">
    <w:name w:val="Обычный (веб)"/>
    <w:basedOn w:val="Normal"/>
    <w:qFormat/>
    <w:pPr>
      <w:spacing w:before="280" w:after="280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NormalWeb">
    <w:name w:val="Normal (Web)"/>
    <w:basedOn w:val="Normal"/>
    <w:qFormat/>
    <w:pPr>
      <w:spacing w:before="280" w:after="142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227</TotalTime>
  <Application>LibreOffice/25.8.4.2$Linux_X86_64 LibreOffice_project/580$Build-2</Application>
  <AppVersion>15.0000</AppVersion>
  <Pages>1</Pages>
  <Words>196</Words>
  <Characters>1476</Characters>
  <CharactersWithSpaces>1669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Денисенко А.</dc:creator>
  <dc:description/>
  <dc:language>ru-RU</dc:language>
  <cp:lastModifiedBy/>
  <cp:lastPrinted>2026-08-09T11:59:12Z</cp:lastPrinted>
  <dcterms:modified xsi:type="dcterms:W3CDTF">2026-09-08T16:25:28Z</dcterms:modified>
  <cp:revision>29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